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00" w:rsidRPr="00E15379" w:rsidRDefault="00E15379" w:rsidP="0005000F">
      <w:pPr>
        <w:jc w:val="center"/>
        <w:rPr>
          <w:b/>
        </w:rPr>
      </w:pPr>
      <w:r w:rsidRPr="00E15379">
        <w:rPr>
          <w:b/>
        </w:rPr>
        <w:t>RELATÓRIO SINTÉTICO DAS AVALIAÇ</w:t>
      </w:r>
      <w:r w:rsidR="00766406">
        <w:rPr>
          <w:b/>
        </w:rPr>
        <w:t>ÕES</w:t>
      </w:r>
      <w:r w:rsidR="00E120BB">
        <w:rPr>
          <w:b/>
        </w:rPr>
        <w:t xml:space="preserve">EXTERNAS </w:t>
      </w:r>
      <w:r w:rsidRPr="00E15379">
        <w:rPr>
          <w:b/>
        </w:rPr>
        <w:t>D</w:t>
      </w:r>
      <w:r w:rsidR="00E120BB">
        <w:rPr>
          <w:b/>
        </w:rPr>
        <w:t>OS</w:t>
      </w:r>
      <w:r w:rsidRPr="00E15379">
        <w:rPr>
          <w:b/>
        </w:rPr>
        <w:t xml:space="preserve"> CURSOS SUPERIORES</w:t>
      </w:r>
      <w:r w:rsidR="00E120BB">
        <w:rPr>
          <w:b/>
        </w:rPr>
        <w:t xml:space="preserve"> DO IFPA</w:t>
      </w:r>
    </w:p>
    <w:p w:rsidR="0073071F" w:rsidRDefault="00364F7D" w:rsidP="0073071F">
      <w:pPr>
        <w:ind w:firstLine="567"/>
        <w:jc w:val="both"/>
      </w:pPr>
      <w:r>
        <w:t>Este relatório foi elaborado pela Diretoria de Avaliação Institucional em parceria com o Departamento de Ensino Superior da Pró-reitoria de Ensino e com a Pesquisadora Educacional Institucional, com base nos resultados das avaliações externas (</w:t>
      </w:r>
      <w:r w:rsidRPr="00364F7D">
        <w:rPr>
          <w:i/>
        </w:rPr>
        <w:t>in loco</w:t>
      </w:r>
      <w:r>
        <w:t>) para fins de atos de reconhecimento ou renovação do reconhecimento dos cursos superiores do Instituto Federal de Educação</w:t>
      </w:r>
      <w:r w:rsidR="003B78B3">
        <w:t>, Ciência e Tecnologia do Pará, e a fonte de dados consultada foi o Sistema e-MEC.</w:t>
      </w:r>
    </w:p>
    <w:p w:rsidR="0073071F" w:rsidRDefault="0073071F" w:rsidP="0073071F">
      <w:pPr>
        <w:ind w:firstLine="567"/>
        <w:jc w:val="both"/>
      </w:pPr>
      <w:r>
        <w:t xml:space="preserve">Foram considerados na elaboração deste relatório os resultados da última avaliação de cada um dos </w:t>
      </w:r>
      <w:r w:rsidRPr="00D91675">
        <w:rPr>
          <w:b/>
        </w:rPr>
        <w:t xml:space="preserve">61 </w:t>
      </w:r>
      <w:r w:rsidR="00D91675" w:rsidRPr="00D91675">
        <w:rPr>
          <w:b/>
        </w:rPr>
        <w:t>cursos superiores em modalidade presencial</w:t>
      </w:r>
      <w:r w:rsidR="00D91675">
        <w:t xml:space="preserve">. Ou seja, para os cursos que passaram por processo de renovação de reconhecimento, foram considerados os resultados da última avaliação, não sendo </w:t>
      </w:r>
      <w:r w:rsidR="00024412">
        <w:t>considerados os resultados das avaliações de reconhecimento dos mesmos</w:t>
      </w:r>
      <w:r w:rsidR="00D91675">
        <w:t>, por se entender que os resultados da última avaliação contempla</w:t>
      </w:r>
      <w:r w:rsidR="00024412">
        <w:t>m</w:t>
      </w:r>
      <w:r w:rsidR="00D91675">
        <w:t xml:space="preserve"> os da prime</w:t>
      </w:r>
      <w:r w:rsidR="00D91675">
        <w:t>i</w:t>
      </w:r>
      <w:r w:rsidR="00D91675">
        <w:t>ra avaliação e apresentam a situação mais atual do curso.</w:t>
      </w:r>
      <w:r w:rsidR="00A07D83">
        <w:t xml:space="preserve"> Também não foram considerados </w:t>
      </w:r>
      <w:r w:rsidR="00E16A83">
        <w:t>os resultados das avaliações dos cursos superiores à distância, ofertados no âmbito do Programa Universidade Aberta do Brasil – UAB.</w:t>
      </w:r>
    </w:p>
    <w:p w:rsidR="0073071F" w:rsidRDefault="00A07D83" w:rsidP="00512037">
      <w:pPr>
        <w:ind w:firstLine="567"/>
        <w:jc w:val="both"/>
      </w:pPr>
      <w:r>
        <w:t>Especificamente, p</w:t>
      </w:r>
      <w:r w:rsidR="0073071F">
        <w:t>ara aferição da M</w:t>
      </w:r>
      <w:r>
        <w:t>édia dos Conceitos dos I</w:t>
      </w:r>
      <w:r w:rsidR="0073071F">
        <w:t>t</w:t>
      </w:r>
      <w:r>
        <w:t>ens A</w:t>
      </w:r>
      <w:r w:rsidR="0073071F">
        <w:t>valia</w:t>
      </w:r>
      <w:r w:rsidR="00816045">
        <w:t>dos por Dime</w:t>
      </w:r>
      <w:r w:rsidR="00816045">
        <w:t>n</w:t>
      </w:r>
      <w:r w:rsidR="00816045">
        <w:t>são</w:t>
      </w:r>
      <w:r w:rsidR="0073071F">
        <w:t xml:space="preserve"> e para aferição do Percentual </w:t>
      </w:r>
      <w:r>
        <w:t xml:space="preserve">de Atendimento </w:t>
      </w:r>
      <w:r w:rsidR="0073071F">
        <w:t>aos Requisitos Legais, não foram consider</w:t>
      </w:r>
      <w:r w:rsidR="0073071F">
        <w:t>a</w:t>
      </w:r>
      <w:r w:rsidR="0073071F">
        <w:t>dos os cursos de Letras-Língua Portuguesa, Pedagogia e Saneamento Ambiental, do Campus Belém, por estes terem sido avaliados com instrumentos diferentes dos demais cursos.</w:t>
      </w:r>
    </w:p>
    <w:p w:rsidR="00512037" w:rsidRDefault="00931CA1" w:rsidP="00512037">
      <w:pPr>
        <w:ind w:firstLine="567"/>
        <w:jc w:val="both"/>
      </w:pPr>
      <w:r>
        <w:t>As sínteses dos resultados das avaliações estão apresentadas nos gráficos a seguir:</w:t>
      </w:r>
    </w:p>
    <w:p w:rsidR="00140D7D" w:rsidRDefault="00DB3A9F" w:rsidP="0045570D">
      <w:pPr>
        <w:jc w:val="both"/>
      </w:pPr>
      <w:r>
        <w:rPr>
          <w:noProof/>
          <w:lang w:eastAsia="pt-BR"/>
        </w:rPr>
        <w:drawing>
          <wp:inline distT="0" distB="0" distL="0" distR="0">
            <wp:extent cx="5400040" cy="3782060"/>
            <wp:effectExtent l="0" t="0" r="10160" b="889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5570D" w:rsidRDefault="000F76A9" w:rsidP="0045570D">
      <w:pPr>
        <w:jc w:val="both"/>
      </w:pPr>
      <w:r>
        <w:rPr>
          <w:noProof/>
          <w:lang w:eastAsia="pt-BR"/>
        </w:rPr>
        <w:lastRenderedPageBreak/>
        <w:drawing>
          <wp:inline distT="0" distB="0" distL="0" distR="0">
            <wp:extent cx="5383867" cy="3105150"/>
            <wp:effectExtent l="0" t="0" r="7620" b="0"/>
            <wp:docPr id="21" name="Grá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55A4" w:rsidRDefault="004A4623" w:rsidP="0045570D">
      <w:pPr>
        <w:jc w:val="both"/>
      </w:pPr>
      <w:r>
        <w:rPr>
          <w:noProof/>
          <w:lang w:eastAsia="pt-BR"/>
        </w:rPr>
        <w:drawing>
          <wp:inline distT="0" distB="0" distL="0" distR="0">
            <wp:extent cx="5400040" cy="3115310"/>
            <wp:effectExtent l="0" t="0" r="10160" b="889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40D7D" w:rsidRDefault="004A4623" w:rsidP="0045570D">
      <w:pPr>
        <w:jc w:val="both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4806315"/>
            <wp:effectExtent l="0" t="0" r="10160" b="13335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0D7D" w:rsidRDefault="006E1B04" w:rsidP="0045570D">
      <w:pPr>
        <w:jc w:val="both"/>
      </w:pPr>
      <w:r>
        <w:rPr>
          <w:noProof/>
          <w:lang w:eastAsia="pt-BR"/>
        </w:rPr>
        <w:drawing>
          <wp:inline distT="0" distB="0" distL="0" distR="0">
            <wp:extent cx="5400040" cy="3114675"/>
            <wp:effectExtent l="19050" t="0" r="10160" b="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54E2E" w:rsidRDefault="00EA49ED" w:rsidP="0045570D">
      <w:pPr>
        <w:jc w:val="both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8286750"/>
            <wp:effectExtent l="19050" t="0" r="10160" b="0"/>
            <wp:docPr id="25" name="Grá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5FE3" w:rsidRDefault="000F0918" w:rsidP="0045570D">
      <w:pPr>
        <w:jc w:val="both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7329805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91F51" w:rsidRDefault="000F0918" w:rsidP="0045570D">
      <w:pPr>
        <w:jc w:val="both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732282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0" w:name="_GoBack"/>
      <w:bookmarkEnd w:id="0"/>
    </w:p>
    <w:p w:rsidR="00E54E2E" w:rsidRDefault="000F76A9" w:rsidP="0045570D">
      <w:pPr>
        <w:jc w:val="both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7995920"/>
            <wp:effectExtent l="0" t="0" r="10160" b="5080"/>
            <wp:docPr id="22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76012" w:rsidRDefault="000F76A9" w:rsidP="00015FE3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850466" cy="4362450"/>
            <wp:effectExtent l="19050" t="0" r="26334" b="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3071F" w:rsidRDefault="0073071F" w:rsidP="00015FE3">
      <w:pPr>
        <w:jc w:val="center"/>
      </w:pPr>
      <w:r w:rsidRPr="0073071F">
        <w:rPr>
          <w:noProof/>
          <w:lang w:eastAsia="pt-BR"/>
        </w:rPr>
        <w:drawing>
          <wp:inline distT="0" distB="0" distL="0" distR="0">
            <wp:extent cx="5400040" cy="2816860"/>
            <wp:effectExtent l="19050" t="0" r="10160" b="2540"/>
            <wp:docPr id="3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sectPr w:rsidR="0073071F" w:rsidSect="00205FE2">
      <w:headerReference w:type="default" r:id="rId17"/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9AD" w:rsidRDefault="004839AD" w:rsidP="00E15379">
      <w:pPr>
        <w:spacing w:after="0" w:line="240" w:lineRule="auto"/>
      </w:pPr>
      <w:r>
        <w:separator/>
      </w:r>
    </w:p>
  </w:endnote>
  <w:endnote w:type="continuationSeparator" w:id="1">
    <w:p w:rsidR="004839AD" w:rsidRDefault="004839AD" w:rsidP="00E1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037" w:rsidRDefault="00512037" w:rsidP="00512037">
    <w:pPr>
      <w:pStyle w:val="Rodap"/>
      <w:jc w:val="center"/>
    </w:pPr>
    <w:r>
      <w:t xml:space="preserve">Página </w:t>
    </w:r>
    <w:r w:rsidR="002666BA">
      <w:fldChar w:fldCharType="begin"/>
    </w:r>
    <w:r w:rsidR="005210ED">
      <w:instrText xml:space="preserve"> PAGE   \* MERGEFORMAT </w:instrText>
    </w:r>
    <w:r w:rsidR="002666BA">
      <w:fldChar w:fldCharType="separate"/>
    </w:r>
    <w:r w:rsidR="0005000F">
      <w:rPr>
        <w:noProof/>
      </w:rPr>
      <w:t>1</w:t>
    </w:r>
    <w:r w:rsidR="002666BA">
      <w:rPr>
        <w:noProof/>
      </w:rPr>
      <w:fldChar w:fldCharType="end"/>
    </w:r>
    <w:r>
      <w:t xml:space="preserve"> de </w:t>
    </w:r>
    <w:fldSimple w:instr=" NUMPAGES   \* MERGEFORMAT ">
      <w:r w:rsidR="0005000F">
        <w:rPr>
          <w:noProof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9AD" w:rsidRDefault="004839AD" w:rsidP="00E15379">
      <w:pPr>
        <w:spacing w:after="0" w:line="240" w:lineRule="auto"/>
      </w:pPr>
      <w:r>
        <w:separator/>
      </w:r>
    </w:p>
  </w:footnote>
  <w:footnote w:type="continuationSeparator" w:id="1">
    <w:p w:rsidR="004839AD" w:rsidRDefault="004839AD" w:rsidP="00E1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70" w:type="dxa"/>
        <w:right w:w="70" w:type="dxa"/>
      </w:tblCellMar>
      <w:tblLook w:val="0000"/>
    </w:tblPr>
    <w:tblGrid>
      <w:gridCol w:w="1078"/>
      <w:gridCol w:w="5536"/>
      <w:gridCol w:w="2030"/>
    </w:tblGrid>
    <w:tr w:rsidR="00741000" w:rsidTr="00E15379">
      <w:trPr>
        <w:trHeight w:val="1276"/>
      </w:trPr>
      <w:tc>
        <w:tcPr>
          <w:tcW w:w="641" w:type="pct"/>
          <w:tcBorders>
            <w:bottom w:val="double" w:sz="1" w:space="0" w:color="000000"/>
          </w:tcBorders>
          <w:shd w:val="clear" w:color="auto" w:fill="auto"/>
          <w:vAlign w:val="center"/>
        </w:tcPr>
        <w:p w:rsidR="00741000" w:rsidRDefault="00741000" w:rsidP="00E15379">
          <w:pPr>
            <w:pStyle w:val="Cabealho"/>
            <w:keepLines/>
            <w:snapToGrid w:val="0"/>
            <w:jc w:val="both"/>
            <w:rPr>
              <w:rFonts w:ascii="Times New Roman" w:hAnsi="Times New Roman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595630" cy="574095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454" cy="5748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pct"/>
          <w:tcBorders>
            <w:bottom w:val="double" w:sz="1" w:space="0" w:color="000000"/>
          </w:tcBorders>
          <w:shd w:val="clear" w:color="auto" w:fill="auto"/>
          <w:vAlign w:val="center"/>
        </w:tcPr>
        <w:p w:rsidR="00741000" w:rsidRDefault="00741000" w:rsidP="00E15379">
          <w:pPr>
            <w:pStyle w:val="Cabealho"/>
            <w:keepLines/>
            <w:jc w:val="center"/>
            <w:rPr>
              <w:sz w:val="18"/>
              <w:szCs w:val="18"/>
            </w:rPr>
          </w:pPr>
          <w:r w:rsidRPr="00E15379">
            <w:rPr>
              <w:sz w:val="18"/>
              <w:szCs w:val="18"/>
            </w:rPr>
            <w:t>SERVIÇO PÚBLICO FEDERAL</w:t>
          </w:r>
        </w:p>
        <w:p w:rsidR="00741000" w:rsidRDefault="00741000" w:rsidP="00E15379">
          <w:pPr>
            <w:pStyle w:val="Cabealho"/>
            <w:keepLines/>
            <w:jc w:val="center"/>
            <w:rPr>
              <w:sz w:val="18"/>
              <w:szCs w:val="18"/>
            </w:rPr>
          </w:pPr>
          <w:r w:rsidRPr="00E15379">
            <w:rPr>
              <w:sz w:val="18"/>
              <w:szCs w:val="18"/>
            </w:rPr>
            <w:t>M</w:t>
          </w:r>
          <w:r>
            <w:rPr>
              <w:sz w:val="18"/>
              <w:szCs w:val="18"/>
            </w:rPr>
            <w:t>INISTÉRIO DA EDUCAÇÃO</w:t>
          </w:r>
        </w:p>
        <w:p w:rsidR="00741000" w:rsidRPr="00E15379" w:rsidRDefault="00741000" w:rsidP="00E15379">
          <w:pPr>
            <w:pStyle w:val="Cabealho"/>
            <w:keepLines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SECRETARIA DE </w:t>
          </w:r>
          <w:r w:rsidRPr="00E15379">
            <w:rPr>
              <w:sz w:val="18"/>
              <w:szCs w:val="18"/>
            </w:rPr>
            <w:t>EDUCAÇÃO PROFISSIONAL E TECNOLÓGICA</w:t>
          </w:r>
        </w:p>
        <w:p w:rsidR="00741000" w:rsidRPr="00E15379" w:rsidRDefault="00741000" w:rsidP="00E15379">
          <w:pPr>
            <w:pStyle w:val="Cabealho"/>
            <w:keepLines/>
            <w:jc w:val="center"/>
            <w:rPr>
              <w:sz w:val="18"/>
              <w:szCs w:val="18"/>
            </w:rPr>
          </w:pPr>
          <w:r w:rsidRPr="00E15379">
            <w:rPr>
              <w:sz w:val="18"/>
              <w:szCs w:val="18"/>
            </w:rPr>
            <w:t xml:space="preserve">INSTITUTO FEDERAL DE EDUCAÇÃO, CIÊNCIA E TECNOLOGIA DO </w:t>
          </w:r>
          <w:r>
            <w:rPr>
              <w:sz w:val="18"/>
              <w:szCs w:val="18"/>
            </w:rPr>
            <w:t>PARÁ</w:t>
          </w:r>
        </w:p>
        <w:p w:rsidR="00741000" w:rsidRDefault="00741000" w:rsidP="00E15379">
          <w:pPr>
            <w:pStyle w:val="Cabealho"/>
            <w:keepLines/>
            <w:jc w:val="center"/>
            <w:rPr>
              <w:sz w:val="18"/>
              <w:szCs w:val="18"/>
            </w:rPr>
          </w:pPr>
          <w:r w:rsidRPr="00E15379">
            <w:rPr>
              <w:sz w:val="18"/>
              <w:szCs w:val="18"/>
            </w:rPr>
            <w:t>PRÓ-REITORIA DE DESENVOLVIMENTO INSTITUCIONAL</w:t>
          </w:r>
        </w:p>
        <w:p w:rsidR="00741000" w:rsidRPr="00E15379" w:rsidRDefault="00741000" w:rsidP="00E15379">
          <w:pPr>
            <w:pStyle w:val="Cabealho"/>
            <w:keepLines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AVALIAÇÃO INSTITUCIONAL</w:t>
          </w:r>
        </w:p>
      </w:tc>
      <w:tc>
        <w:tcPr>
          <w:tcW w:w="1026" w:type="pct"/>
          <w:tcBorders>
            <w:bottom w:val="double" w:sz="1" w:space="0" w:color="000000"/>
          </w:tcBorders>
          <w:shd w:val="clear" w:color="auto" w:fill="auto"/>
          <w:vAlign w:val="center"/>
        </w:tcPr>
        <w:p w:rsidR="00741000" w:rsidRDefault="00741000" w:rsidP="00E15379">
          <w:pPr>
            <w:pStyle w:val="Cabealho"/>
            <w:keepLines/>
            <w:snapToGrid w:val="0"/>
            <w:jc w:val="both"/>
            <w:rPr>
              <w:bCs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1175385" cy="474980"/>
                <wp:effectExtent l="19050" t="0" r="5715" b="0"/>
                <wp:docPr id="1" name="Imagem 1" descr="LOGO IFP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5385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41000" w:rsidRDefault="0074100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15379"/>
    <w:rsid w:val="00015FE3"/>
    <w:rsid w:val="00024412"/>
    <w:rsid w:val="0005000F"/>
    <w:rsid w:val="00084258"/>
    <w:rsid w:val="000B12CE"/>
    <w:rsid w:val="000E3BEB"/>
    <w:rsid w:val="000F0918"/>
    <w:rsid w:val="000F41F9"/>
    <w:rsid w:val="000F76A9"/>
    <w:rsid w:val="00140D7D"/>
    <w:rsid w:val="001555A4"/>
    <w:rsid w:val="00205FE2"/>
    <w:rsid w:val="002666BA"/>
    <w:rsid w:val="003159F2"/>
    <w:rsid w:val="003205D9"/>
    <w:rsid w:val="00364F7D"/>
    <w:rsid w:val="00366FC9"/>
    <w:rsid w:val="00376012"/>
    <w:rsid w:val="003B78B3"/>
    <w:rsid w:val="003D3F00"/>
    <w:rsid w:val="00426028"/>
    <w:rsid w:val="0043601A"/>
    <w:rsid w:val="0045570D"/>
    <w:rsid w:val="004839AD"/>
    <w:rsid w:val="004A4623"/>
    <w:rsid w:val="00512037"/>
    <w:rsid w:val="005210ED"/>
    <w:rsid w:val="0059450C"/>
    <w:rsid w:val="00661991"/>
    <w:rsid w:val="00671A5F"/>
    <w:rsid w:val="006854C2"/>
    <w:rsid w:val="006B41BE"/>
    <w:rsid w:val="006D0CC1"/>
    <w:rsid w:val="006E1B04"/>
    <w:rsid w:val="0073071F"/>
    <w:rsid w:val="00741000"/>
    <w:rsid w:val="00766406"/>
    <w:rsid w:val="00816045"/>
    <w:rsid w:val="00883879"/>
    <w:rsid w:val="00900AB0"/>
    <w:rsid w:val="00931CA1"/>
    <w:rsid w:val="00A07D83"/>
    <w:rsid w:val="00A13331"/>
    <w:rsid w:val="00A91F51"/>
    <w:rsid w:val="00A96E89"/>
    <w:rsid w:val="00B97618"/>
    <w:rsid w:val="00C26B1B"/>
    <w:rsid w:val="00C5484B"/>
    <w:rsid w:val="00D25FFB"/>
    <w:rsid w:val="00D37CD7"/>
    <w:rsid w:val="00D610BD"/>
    <w:rsid w:val="00D91675"/>
    <w:rsid w:val="00DB3A9F"/>
    <w:rsid w:val="00DD1A89"/>
    <w:rsid w:val="00DE2F19"/>
    <w:rsid w:val="00E120BB"/>
    <w:rsid w:val="00E15379"/>
    <w:rsid w:val="00E16A83"/>
    <w:rsid w:val="00E54E2E"/>
    <w:rsid w:val="00EA49ED"/>
    <w:rsid w:val="00FA378F"/>
    <w:rsid w:val="00FB2C2C"/>
    <w:rsid w:val="00FD1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F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53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5379"/>
  </w:style>
  <w:style w:type="paragraph" w:styleId="Rodap">
    <w:name w:val="footer"/>
    <w:basedOn w:val="Normal"/>
    <w:link w:val="RodapChar"/>
    <w:uiPriority w:val="99"/>
    <w:unhideWhenUsed/>
    <w:rsid w:val="00E153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5379"/>
  </w:style>
  <w:style w:type="table" w:styleId="Tabelacomgrade">
    <w:name w:val="Table Grid"/>
    <w:basedOn w:val="Tabelanormal"/>
    <w:uiPriority w:val="39"/>
    <w:rsid w:val="00455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30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0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AI_PC\Avalia&#231;&#227;o%20Institucional%20do%20Ensino\Resultados%20das%20Avalia&#231;&#245;es\Levantamento%20%20ATUALIZAD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dinâmica23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Desempenho dos Cursos do IFPA nas Avaliações INEP 2011-2015 (%)</a:t>
            </a:r>
          </a:p>
        </c:rich>
      </c:tx>
      <c:spPr>
        <a:noFill/>
        <a:ln>
          <a:noFill/>
        </a:ln>
        <a:effectLst/>
      </c:spPr>
    </c:title>
    <c:pivotFmts>
      <c:pivotFmt>
        <c:idx val="0"/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showPercent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showPercent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showPercent val="1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showPercent val="1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</c:pivotFmt>
      <c:pivotFmt>
        <c:idx val="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</c:pivotFmt>
      <c:pivotFmt>
        <c:idx val="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</c:pivotFmt>
      <c:pivotFmt>
        <c:idx val="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showPercent val="1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</c:pivotFmt>
      <c:pivotFmt>
        <c:idx val="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</c:pivotFmt>
      <c:pivotFmt>
        <c:idx val="1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</c:pivotFmt>
    </c:pivotFmts>
    <c:view3D>
      <c:rotX val="30"/>
      <c:perspective val="30"/>
    </c:view3D>
    <c:floor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GRÁFICOS!$BI$3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showPercent val="1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shade val="95000"/>
                      <a:satMod val="105000"/>
                    </a:schemeClr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GRÁFICOS!$BH$4:$BH$7</c:f>
              <c:strCache>
                <c:ptCount val="3"/>
                <c:pt idx="0">
                  <c:v>Conceito 2</c:v>
                </c:pt>
                <c:pt idx="1">
                  <c:v>Conceito 3</c:v>
                </c:pt>
                <c:pt idx="2">
                  <c:v>Conceito 4</c:v>
                </c:pt>
              </c:strCache>
            </c:strRef>
          </c:cat>
          <c:val>
            <c:numRef>
              <c:f>GRÁFICOS!$BI$4:$BI$7</c:f>
              <c:numCache>
                <c:formatCode>General</c:formatCode>
                <c:ptCount val="3"/>
                <c:pt idx="0">
                  <c:v>1</c:v>
                </c:pt>
                <c:pt idx="1">
                  <c:v>47</c:v>
                </c:pt>
                <c:pt idx="2">
                  <c:v>13</c:v>
                </c:pt>
              </c:numCache>
            </c:numRef>
          </c:val>
        </c:ser>
        <c:dLbls>
          <c:showVal val="1"/>
        </c:dLbls>
      </c:pie3DChart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zero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dinâmica21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600" b="1" i="0" baseline="0"/>
              <a:t>Percentual de Atendimento aos Requisitos Legais dos Cursos do IFPA (2011-2015)</a:t>
            </a:r>
            <a:endParaRPr lang="pt-BR" sz="1600" b="1" i="0" baseline="0"/>
          </a:p>
        </c:rich>
      </c:tx>
      <c:spPr>
        <a:noFill/>
        <a:ln>
          <a:noFill/>
        </a:ln>
        <a:effectLst/>
      </c:spPr>
    </c:title>
    <c:pivotFmts>
      <c:pivotFmt>
        <c:idx val="0"/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ser>
          <c:idx val="0"/>
          <c:order val="0"/>
          <c:tx>
            <c:strRef>
              <c:f>GRÁFICOS!$AD$4</c:f>
              <c:strCache>
                <c:ptCount val="1"/>
                <c:pt idx="0">
                  <c:v>Total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GRÁFICOS!$AC$5:$AC$17</c:f>
              <c:strCache>
                <c:ptCount val="12"/>
                <c:pt idx="0">
                  <c:v>Acessibilidade</c:v>
                </c:pt>
                <c:pt idx="1">
                  <c:v>Titulação do corpo docente</c:v>
                </c:pt>
                <c:pt idx="2">
                  <c:v>NDE</c:v>
                </c:pt>
                <c:pt idx="3">
                  <c:v>Diretrizes ERER</c:v>
                </c:pt>
                <c:pt idx="4">
                  <c:v>Políticas Ed. ambiental</c:v>
                </c:pt>
                <c:pt idx="5">
                  <c:v>Diretrizes Curriculares do Curso </c:v>
                </c:pt>
                <c:pt idx="6">
                  <c:v>Informações Acadêmicas</c:v>
                </c:pt>
                <c:pt idx="7">
                  <c:v>Denominação Cursos Tecnologia  </c:v>
                </c:pt>
                <c:pt idx="8">
                  <c:v>CH mínima - Cursos Bachar. e Lic.</c:v>
                </c:pt>
                <c:pt idx="9">
                  <c:v>Tempo integralização </c:v>
                </c:pt>
                <c:pt idx="10">
                  <c:v>Disciplina Libras</c:v>
                </c:pt>
                <c:pt idx="11">
                  <c:v>CH mínima - Cursos Tecnologia</c:v>
                </c:pt>
              </c:strCache>
            </c:strRef>
          </c:cat>
          <c:val>
            <c:numRef>
              <c:f>GRÁFICOS!$AD$5:$AD$17</c:f>
              <c:numCache>
                <c:formatCode>0%</c:formatCode>
                <c:ptCount val="12"/>
                <c:pt idx="0">
                  <c:v>0.7068965517241379</c:v>
                </c:pt>
                <c:pt idx="1">
                  <c:v>0.7931034482758621</c:v>
                </c:pt>
                <c:pt idx="2">
                  <c:v>0.82758620689655149</c:v>
                </c:pt>
                <c:pt idx="3">
                  <c:v>0.87931034482758619</c:v>
                </c:pt>
                <c:pt idx="4">
                  <c:v>0.87931034482758619</c:v>
                </c:pt>
                <c:pt idx="5">
                  <c:v>0.91304347826086962</c:v>
                </c:pt>
                <c:pt idx="6">
                  <c:v>0.9137931034482768</c:v>
                </c:pt>
                <c:pt idx="7">
                  <c:v>0.9285714285714286</c:v>
                </c:pt>
                <c:pt idx="8">
                  <c:v>0.95744680851063835</c:v>
                </c:pt>
                <c:pt idx="9">
                  <c:v>0.960784313725491</c:v>
                </c:pt>
                <c:pt idx="10">
                  <c:v>0.98275862068965514</c:v>
                </c:pt>
                <c:pt idx="11">
                  <c:v>1</c:v>
                </c:pt>
              </c:numCache>
            </c:numRef>
          </c:val>
        </c:ser>
        <c:dLbls>
          <c:showVal val="1"/>
        </c:dLbls>
        <c:axId val="73038848"/>
        <c:axId val="73045120"/>
      </c:barChart>
      <c:catAx>
        <c:axId val="73038848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Requisito</a:t>
                </a:r>
                <a:r>
                  <a:rPr lang="pt-BR" baseline="0"/>
                  <a:t> Legal</a:t>
                </a:r>
                <a:endParaRPr lang="pt-BR"/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3045120"/>
        <c:crosses val="autoZero"/>
        <c:auto val="1"/>
        <c:lblAlgn val="ctr"/>
        <c:lblOffset val="100"/>
      </c:catAx>
      <c:valAx>
        <c:axId val="73045120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Percentual de Atendimento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%" sourceLinked="1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30388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dinâmica43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Média dos Conceitos dos Cursos do IFPA por Ano (2011 - 2015)</a:t>
            </a:r>
          </a:p>
        </c:rich>
      </c:tx>
      <c:spPr>
        <a:noFill/>
        <a:ln>
          <a:noFill/>
        </a:ln>
        <a:effectLst/>
      </c:spPr>
    </c:title>
    <c:pivotFmts>
      <c:pivotFmt>
        <c:idx val="0"/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 cmpd="sng" algn="ctr">
            <a:solidFill>
              <a:schemeClr val="accent1">
                <a:shade val="95000"/>
                <a:satMod val="105000"/>
              </a:schemeClr>
            </a:solidFill>
            <a:prstDash val="solid"/>
            <a:round/>
          </a:ln>
          <a:effectLst/>
        </c:spPr>
        <c:marker>
          <c:spPr>
            <a:solidFill>
              <a:schemeClr val="accent1"/>
            </a:solidFill>
            <a:ln w="9525" cap="flat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 cmpd="sng" algn="ctr">
            <a:solidFill>
              <a:schemeClr val="accent1">
                <a:shade val="95000"/>
                <a:satMod val="105000"/>
              </a:schemeClr>
            </a:solidFill>
            <a:prstDash val="solid"/>
            <a:round/>
          </a:ln>
          <a:effectLst/>
        </c:spPr>
        <c:marker>
          <c:spPr>
            <a:solidFill>
              <a:schemeClr val="accent1"/>
            </a:solidFill>
            <a:ln w="9525" cap="flat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 cmpd="sng" algn="ctr">
            <a:solidFill>
              <a:schemeClr val="accent1">
                <a:shade val="95000"/>
                <a:satMod val="105000"/>
              </a:schemeClr>
            </a:solidFill>
            <a:prstDash val="solid"/>
            <a:round/>
          </a:ln>
          <a:effectLst/>
        </c:spPr>
        <c:marker>
          <c:spPr>
            <a:solidFill>
              <a:schemeClr val="accent1"/>
            </a:solidFill>
            <a:ln w="9525" cap="flat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ser>
          <c:idx val="0"/>
          <c:order val="0"/>
          <c:tx>
            <c:strRef>
              <c:f>GRÁFICOS!$ED$3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1"/>
              </a:solidFill>
              <a:ln w="9525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GRÁFICOS!$EC$4:$EC$9</c:f>
              <c:strCach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strCache>
            </c:strRef>
          </c:cat>
          <c:val>
            <c:numRef>
              <c:f>GRÁFICOS!$ED$4:$ED$9</c:f>
              <c:numCache>
                <c:formatCode>0.00</c:formatCode>
                <c:ptCount val="5"/>
                <c:pt idx="0">
                  <c:v>3</c:v>
                </c:pt>
                <c:pt idx="1">
                  <c:v>3.2</c:v>
                </c:pt>
                <c:pt idx="2">
                  <c:v>3.6666666666666665</c:v>
                </c:pt>
                <c:pt idx="3">
                  <c:v>3.1176470588235294</c:v>
                </c:pt>
                <c:pt idx="4">
                  <c:v>3.2121212121212164</c:v>
                </c:pt>
              </c:numCache>
            </c:numRef>
          </c:val>
        </c:ser>
        <c:dLbls>
          <c:showVal val="1"/>
        </c:dLbls>
        <c:marker val="1"/>
        <c:axId val="72971776"/>
        <c:axId val="72973696"/>
      </c:lineChart>
      <c:catAx>
        <c:axId val="7297177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Ano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973696"/>
        <c:crosses val="autoZero"/>
        <c:auto val="1"/>
        <c:lblAlgn val="ctr"/>
        <c:lblOffset val="100"/>
      </c:catAx>
      <c:valAx>
        <c:axId val="72973696"/>
        <c:scaling>
          <c:orientation val="minMax"/>
          <c:min val="2.5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Média dos Conceitos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" sourceLinked="1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97177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dinâmica1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Média dos Conceitos dos Cursos do IFPA por Dimensão(2011-2015)</a:t>
            </a:r>
          </a:p>
        </c:rich>
      </c:tx>
      <c:spPr>
        <a:noFill/>
        <a:ln>
          <a:noFill/>
        </a:ln>
        <a:effectLst/>
      </c:spPr>
    </c:title>
    <c:pivotFmts>
      <c:pivotFmt>
        <c:idx val="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</c:pivotFmt>
      <c:pivotFmt>
        <c:idx val="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ser>
          <c:idx val="0"/>
          <c:order val="0"/>
          <c:tx>
            <c:strRef>
              <c:f>GRÁFICOS!$C$4</c:f>
              <c:strCache>
                <c:ptCount val="1"/>
                <c:pt idx="0">
                  <c:v>Total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GRÁFICOS!$B$5:$B$9</c:f>
              <c:strCache>
                <c:ptCount val="4"/>
                <c:pt idx="0">
                  <c:v>Didático-Pedagógica</c:v>
                </c:pt>
                <c:pt idx="1">
                  <c:v>Corpo Docente</c:v>
                </c:pt>
                <c:pt idx="2">
                  <c:v>Infraestrutura</c:v>
                </c:pt>
                <c:pt idx="3">
                  <c:v>Conceito Final</c:v>
                </c:pt>
              </c:strCache>
            </c:strRef>
          </c:cat>
          <c:val>
            <c:numRef>
              <c:f>GRÁFICOS!$C$5:$C$9</c:f>
              <c:numCache>
                <c:formatCode>0.00</c:formatCode>
                <c:ptCount val="4"/>
                <c:pt idx="0">
                  <c:v>3.3131147540983612</c:v>
                </c:pt>
                <c:pt idx="1">
                  <c:v>3.5295081967213142</c:v>
                </c:pt>
                <c:pt idx="2">
                  <c:v>2.7377049180327906</c:v>
                </c:pt>
                <c:pt idx="3">
                  <c:v>3.1967213114754132</c:v>
                </c:pt>
              </c:numCache>
            </c:numRef>
          </c:val>
        </c:ser>
        <c:dLbls>
          <c:showVal val="1"/>
        </c:dLbls>
        <c:axId val="51995008"/>
        <c:axId val="51996928"/>
      </c:barChart>
      <c:catAx>
        <c:axId val="5199500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Dimensão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996928"/>
        <c:crosses val="autoZero"/>
        <c:auto val="1"/>
        <c:lblAlgn val="ctr"/>
        <c:lblOffset val="100"/>
      </c:catAx>
      <c:valAx>
        <c:axId val="51996928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Média dos Conceitos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" sourceLinked="1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99500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dinâmica40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600"/>
              <a:t>Média dos Conceitos dos Cursos</a:t>
            </a:r>
            <a:r>
              <a:rPr lang="en-US" sz="1600" baseline="0"/>
              <a:t> do IFPA por Tipo de Curso e por Dimensão (2011 - 2015)</a:t>
            </a:r>
            <a:endParaRPr lang="en-US" sz="1600"/>
          </a:p>
        </c:rich>
      </c:tx>
      <c:spPr>
        <a:noFill/>
        <a:ln>
          <a:noFill/>
        </a:ln>
        <a:effectLst/>
      </c:spPr>
    </c:title>
    <c:pivotFmts>
      <c:pivotFmt>
        <c:idx val="0"/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</c:pivotFmt>
      <c:pivotFmt>
        <c:idx val="1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ser>
          <c:idx val="0"/>
          <c:order val="0"/>
          <c:tx>
            <c:strRef>
              <c:f>GRÁFICOS!$CN$3:$CN$4</c:f>
              <c:strCache>
                <c:ptCount val="1"/>
                <c:pt idx="0">
                  <c:v>Bacharelado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GRÁFICOS!$CM$5:$CM$9</c:f>
              <c:strCache>
                <c:ptCount val="4"/>
                <c:pt idx="0">
                  <c:v>Didático-Pedagógica</c:v>
                </c:pt>
                <c:pt idx="1">
                  <c:v>Corpo Docente</c:v>
                </c:pt>
                <c:pt idx="2">
                  <c:v>Infraestrutura</c:v>
                </c:pt>
                <c:pt idx="3">
                  <c:v>Conceito Final</c:v>
                </c:pt>
              </c:strCache>
            </c:strRef>
          </c:cat>
          <c:val>
            <c:numRef>
              <c:f>GRÁFICOS!$CN$5:$CN$9</c:f>
              <c:numCache>
                <c:formatCode>0.00</c:formatCode>
                <c:ptCount val="4"/>
                <c:pt idx="0">
                  <c:v>3.4749999999999988</c:v>
                </c:pt>
                <c:pt idx="1">
                  <c:v>3.9</c:v>
                </c:pt>
                <c:pt idx="2">
                  <c:v>2.8499999999999988</c:v>
                </c:pt>
                <c:pt idx="3">
                  <c:v>3.5</c:v>
                </c:pt>
              </c:numCache>
            </c:numRef>
          </c:val>
        </c:ser>
        <c:ser>
          <c:idx val="1"/>
          <c:order val="1"/>
          <c:tx>
            <c:strRef>
              <c:f>GRÁFICOS!$CO$3:$CO$4</c:f>
              <c:strCache>
                <c:ptCount val="1"/>
                <c:pt idx="0">
                  <c:v>Licenciatura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GRÁFICOS!$CM$5:$CM$9</c:f>
              <c:strCache>
                <c:ptCount val="4"/>
                <c:pt idx="0">
                  <c:v>Didático-Pedagógica</c:v>
                </c:pt>
                <c:pt idx="1">
                  <c:v>Corpo Docente</c:v>
                </c:pt>
                <c:pt idx="2">
                  <c:v>Infraestrutura</c:v>
                </c:pt>
                <c:pt idx="3">
                  <c:v>Conceito Final</c:v>
                </c:pt>
              </c:strCache>
            </c:strRef>
          </c:cat>
          <c:val>
            <c:numRef>
              <c:f>GRÁFICOS!$CO$5:$CO$9</c:f>
              <c:numCache>
                <c:formatCode>0.00</c:formatCode>
                <c:ptCount val="4"/>
                <c:pt idx="0">
                  <c:v>3.2777777777777826</c:v>
                </c:pt>
                <c:pt idx="1">
                  <c:v>3.4733333333333336</c:v>
                </c:pt>
                <c:pt idx="2">
                  <c:v>2.7088888888888878</c:v>
                </c:pt>
                <c:pt idx="3">
                  <c:v>3.177777777777782</c:v>
                </c:pt>
              </c:numCache>
            </c:numRef>
          </c:val>
        </c:ser>
        <c:ser>
          <c:idx val="2"/>
          <c:order val="2"/>
          <c:tx>
            <c:strRef>
              <c:f>GRÁFICOS!$CP$3:$CP$4</c:f>
              <c:strCache>
                <c:ptCount val="1"/>
                <c:pt idx="0">
                  <c:v>Tecnologia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GRÁFICOS!$CM$5:$CM$9</c:f>
              <c:strCache>
                <c:ptCount val="4"/>
                <c:pt idx="0">
                  <c:v>Didático-Pedagógica</c:v>
                </c:pt>
                <c:pt idx="1">
                  <c:v>Corpo Docente</c:v>
                </c:pt>
                <c:pt idx="2">
                  <c:v>Infraestrutura</c:v>
                </c:pt>
                <c:pt idx="3">
                  <c:v>Conceito Final</c:v>
                </c:pt>
              </c:strCache>
            </c:strRef>
          </c:cat>
          <c:val>
            <c:numRef>
              <c:f>GRÁFICOS!$CP$5:$CP$9</c:f>
              <c:numCache>
                <c:formatCode>0.00</c:formatCode>
                <c:ptCount val="4"/>
                <c:pt idx="0">
                  <c:v>3.3916666666666644</c:v>
                </c:pt>
                <c:pt idx="1">
                  <c:v>3.6166666666666667</c:v>
                </c:pt>
                <c:pt idx="2">
                  <c:v>2.8083333333333331</c:v>
                </c:pt>
                <c:pt idx="3">
                  <c:v>3.1666666666666665</c:v>
                </c:pt>
              </c:numCache>
            </c:numRef>
          </c:val>
        </c:ser>
        <c:dLbls>
          <c:showVal val="1"/>
        </c:dLbls>
        <c:axId val="55324032"/>
        <c:axId val="55334400"/>
      </c:barChart>
      <c:catAx>
        <c:axId val="5532403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Dimensão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334400"/>
        <c:crosses val="autoZero"/>
        <c:auto val="1"/>
        <c:lblAlgn val="ctr"/>
        <c:lblOffset val="100"/>
      </c:catAx>
      <c:valAx>
        <c:axId val="55334400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Média dos Conceitos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" sourceLinked="1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3240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  <c:extLst>
    <c:ext xmlns:c14="http://schemas.microsoft.com/office/drawing/2007/8/2/chart" uri="{781A3756-C4B2-4CAC-9D66-4F8BD8637D16}">
      <c14:pivotOptions>
        <c14:dropZoneSeries val="1"/>
      </c14:pivotOptions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dinâmica41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600"/>
              <a:t>Média dos Conceitos dos Cursos do IFPA por Programa e por Dimensão (2011 - 2015)</a:t>
            </a:r>
          </a:p>
        </c:rich>
      </c:tx>
      <c:spPr>
        <a:noFill/>
        <a:ln>
          <a:noFill/>
        </a:ln>
        <a:effectLst/>
      </c:spPr>
    </c:title>
    <c:pivotFmts>
      <c:pivotFmt>
        <c:idx val="0"/>
      </c:pivotFmt>
      <c:pivotFmt>
        <c:idx val="1"/>
      </c:pivotFmt>
      <c:pivotFmt>
        <c:idx val="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ser>
          <c:idx val="0"/>
          <c:order val="0"/>
          <c:tx>
            <c:strRef>
              <c:f>GRÁFICOS!$DB$3:$DB$4</c:f>
              <c:strCache>
                <c:ptCount val="1"/>
                <c:pt idx="0">
                  <c:v>PARFOR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GRÁFICOS!$DA$5:$DA$9</c:f>
              <c:strCache>
                <c:ptCount val="4"/>
                <c:pt idx="0">
                  <c:v>Conceito Final</c:v>
                </c:pt>
                <c:pt idx="1">
                  <c:v>Infraestrutura</c:v>
                </c:pt>
                <c:pt idx="2">
                  <c:v>Corpo Docente</c:v>
                </c:pt>
                <c:pt idx="3">
                  <c:v>Didático-Pedagógica</c:v>
                </c:pt>
              </c:strCache>
            </c:strRef>
          </c:cat>
          <c:val>
            <c:numRef>
              <c:f>GRÁFICOS!$DB$5:$DB$9</c:f>
              <c:numCache>
                <c:formatCode>0.00</c:formatCode>
                <c:ptCount val="4"/>
                <c:pt idx="0">
                  <c:v>3.0416666666666665</c:v>
                </c:pt>
                <c:pt idx="1">
                  <c:v>2.6416666666666662</c:v>
                </c:pt>
                <c:pt idx="2">
                  <c:v>3.1583333333333332</c:v>
                </c:pt>
                <c:pt idx="3">
                  <c:v>3.2250000000000001</c:v>
                </c:pt>
              </c:numCache>
            </c:numRef>
          </c:val>
        </c:ser>
        <c:ser>
          <c:idx val="1"/>
          <c:order val="1"/>
          <c:tx>
            <c:strRef>
              <c:f>GRÁFICOS!$DC$3:$DC$4</c:f>
              <c:strCache>
                <c:ptCount val="1"/>
                <c:pt idx="0">
                  <c:v>PROCAMPO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GRÁFICOS!$DA$5:$DA$9</c:f>
              <c:strCache>
                <c:ptCount val="4"/>
                <c:pt idx="0">
                  <c:v>Conceito Final</c:v>
                </c:pt>
                <c:pt idx="1">
                  <c:v>Infraestrutura</c:v>
                </c:pt>
                <c:pt idx="2">
                  <c:v>Corpo Docente</c:v>
                </c:pt>
                <c:pt idx="3">
                  <c:v>Didático-Pedagógica</c:v>
                </c:pt>
              </c:strCache>
            </c:strRef>
          </c:cat>
          <c:val>
            <c:numRef>
              <c:f>GRÁFICOS!$DC$5:$DC$9</c:f>
              <c:numCache>
                <c:formatCode>0.00</c:formatCode>
                <c:ptCount val="4"/>
                <c:pt idx="0">
                  <c:v>3.5</c:v>
                </c:pt>
                <c:pt idx="1">
                  <c:v>3.2</c:v>
                </c:pt>
                <c:pt idx="2">
                  <c:v>3.5249999999999999</c:v>
                </c:pt>
                <c:pt idx="3">
                  <c:v>3.6</c:v>
                </c:pt>
              </c:numCache>
            </c:numRef>
          </c:val>
        </c:ser>
        <c:ser>
          <c:idx val="2"/>
          <c:order val="2"/>
          <c:tx>
            <c:strRef>
              <c:f>GRÁFICOS!$DD$3:$DD$4</c:f>
              <c:strCache>
                <c:ptCount val="1"/>
                <c:pt idx="0">
                  <c:v>PROCAMPO e PARFOR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GRÁFICOS!$DA$5:$DA$9</c:f>
              <c:strCache>
                <c:ptCount val="4"/>
                <c:pt idx="0">
                  <c:v>Conceito Final</c:v>
                </c:pt>
                <c:pt idx="1">
                  <c:v>Infraestrutura</c:v>
                </c:pt>
                <c:pt idx="2">
                  <c:v>Corpo Docente</c:v>
                </c:pt>
                <c:pt idx="3">
                  <c:v>Didático-Pedagógica</c:v>
                </c:pt>
              </c:strCache>
            </c:strRef>
          </c:cat>
          <c:val>
            <c:numRef>
              <c:f>GRÁFICOS!$DD$5:$DD$9</c:f>
              <c:numCache>
                <c:formatCode>0.00</c:formatCode>
                <c:ptCount val="4"/>
                <c:pt idx="0">
                  <c:v>3.4</c:v>
                </c:pt>
                <c:pt idx="1">
                  <c:v>2.74</c:v>
                </c:pt>
                <c:pt idx="2">
                  <c:v>3.88</c:v>
                </c:pt>
                <c:pt idx="3">
                  <c:v>3.3600000000000003</c:v>
                </c:pt>
              </c:numCache>
            </c:numRef>
          </c:val>
        </c:ser>
        <c:ser>
          <c:idx val="3"/>
          <c:order val="3"/>
          <c:tx>
            <c:strRef>
              <c:f>GRÁFICOS!$DE$3:$DE$4</c:f>
              <c:strCache>
                <c:ptCount val="1"/>
                <c:pt idx="0">
                  <c:v>Regular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GRÁFICOS!$DA$5:$DA$9</c:f>
              <c:strCache>
                <c:ptCount val="4"/>
                <c:pt idx="0">
                  <c:v>Conceito Final</c:v>
                </c:pt>
                <c:pt idx="1">
                  <c:v>Infraestrutura</c:v>
                </c:pt>
                <c:pt idx="2">
                  <c:v>Corpo Docente</c:v>
                </c:pt>
                <c:pt idx="3">
                  <c:v>Didático-Pedagógica</c:v>
                </c:pt>
              </c:strCache>
            </c:strRef>
          </c:cat>
          <c:val>
            <c:numRef>
              <c:f>GRÁFICOS!$DE$5:$DE$9</c:f>
              <c:numCache>
                <c:formatCode>0.00</c:formatCode>
                <c:ptCount val="4"/>
                <c:pt idx="0">
                  <c:v>3.2608695652173956</c:v>
                </c:pt>
                <c:pt idx="1">
                  <c:v>2.8043478260869592</c:v>
                </c:pt>
                <c:pt idx="2">
                  <c:v>3.7956521739130387</c:v>
                </c:pt>
                <c:pt idx="3">
                  <c:v>3.3565217391304349</c:v>
                </c:pt>
              </c:numCache>
            </c:numRef>
          </c:val>
        </c:ser>
        <c:ser>
          <c:idx val="4"/>
          <c:order val="4"/>
          <c:tx>
            <c:strRef>
              <c:f>GRÁFICOS!$DF$3:$DF$4</c:f>
              <c:strCache>
                <c:ptCount val="1"/>
                <c:pt idx="0">
                  <c:v>Regular e PARFOR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GRÁFICOS!$DA$5:$DA$9</c:f>
              <c:strCache>
                <c:ptCount val="4"/>
                <c:pt idx="0">
                  <c:v>Conceito Final</c:v>
                </c:pt>
                <c:pt idx="1">
                  <c:v>Infraestrutura</c:v>
                </c:pt>
                <c:pt idx="2">
                  <c:v>Corpo Docente</c:v>
                </c:pt>
                <c:pt idx="3">
                  <c:v>Didático-Pedagógica</c:v>
                </c:pt>
              </c:strCache>
            </c:strRef>
          </c:cat>
          <c:val>
            <c:numRef>
              <c:f>GRÁFICOS!$DF$5:$DF$9</c:f>
              <c:numCache>
                <c:formatCode>0.00</c:formatCode>
                <c:ptCount val="4"/>
                <c:pt idx="0">
                  <c:v>3.2</c:v>
                </c:pt>
                <c:pt idx="1">
                  <c:v>2.52</c:v>
                </c:pt>
                <c:pt idx="2">
                  <c:v>3.7399999999999998</c:v>
                </c:pt>
                <c:pt idx="3">
                  <c:v>3.2600000000000002</c:v>
                </c:pt>
              </c:numCache>
            </c:numRef>
          </c:val>
        </c:ser>
        <c:dLbls>
          <c:showVal val="1"/>
        </c:dLbls>
        <c:axId val="72041600"/>
        <c:axId val="72043520"/>
      </c:barChart>
      <c:catAx>
        <c:axId val="72041600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Dimensão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043520"/>
        <c:crosses val="autoZero"/>
        <c:auto val="1"/>
        <c:lblAlgn val="ctr"/>
        <c:lblOffset val="100"/>
      </c:catAx>
      <c:valAx>
        <c:axId val="72043520"/>
        <c:scaling>
          <c:orientation val="minMax"/>
        </c:scaling>
        <c:delete val="1"/>
        <c:axPos val="b"/>
        <c:numFmt formatCode="0.00" sourceLinked="1"/>
        <c:tickLblPos val="nextTo"/>
        <c:crossAx val="7204160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  <c:extLst>
    <c:ext xmlns:c14="http://schemas.microsoft.com/office/drawing/2007/8/2/chart" uri="{781A3756-C4B2-4CAC-9D66-4F8BD8637D16}">
      <c14:pivotOptions>
        <c14:dropZoneSeries val="1"/>
      </c14:pivotOptions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dinâmica42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Média dos Conceitos dos Cursos do IFPA por Ato Regulatório e por Dimensão (2011 - 2015)</a:t>
            </a:r>
          </a:p>
        </c:rich>
      </c:tx>
      <c:spPr>
        <a:noFill/>
        <a:ln>
          <a:noFill/>
        </a:ln>
        <a:effectLst/>
      </c:spPr>
    </c:title>
    <c:pivotFmts>
      <c:pivotFmt>
        <c:idx val="0"/>
      </c:pivotFmt>
      <c:pivotFmt>
        <c:idx val="1"/>
      </c:pivotFmt>
      <c:pivotFmt>
        <c:idx val="2"/>
      </c:pivotFmt>
      <c:pivotFmt>
        <c:idx val="3"/>
      </c:pivotFmt>
      <c:pivotFmt>
        <c:idx val="4"/>
      </c:pivotFmt>
      <c:pivotFmt>
        <c:idx val="5"/>
      </c:pivotFmt>
      <c:pivotFmt>
        <c:idx val="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</c:pivotFmt>
      <c:pivotFmt>
        <c:idx val="2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</c:pivotFmt>
      <c:pivotFmt>
        <c:idx val="2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</c:pivotFmt>
      <c:pivotFmt>
        <c:idx val="2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</c:pivotFmt>
      <c:pivotFmt>
        <c:idx val="2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</c:pivotFmt>
      <c:pivotFmt>
        <c:idx val="2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</c:pivotFmt>
    </c:pivotFmts>
    <c:plotArea>
      <c:layout/>
      <c:barChart>
        <c:barDir val="col"/>
        <c:grouping val="clustered"/>
        <c:ser>
          <c:idx val="0"/>
          <c:order val="0"/>
          <c:tx>
            <c:strRef>
              <c:f>GRÁFICOS!$DP$3:$DP$4</c:f>
              <c:strCache>
                <c:ptCount val="1"/>
                <c:pt idx="0">
                  <c:v>Reconhecimento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GRÁFICOS!$DO$5:$DO$9</c:f>
              <c:strCache>
                <c:ptCount val="4"/>
                <c:pt idx="0">
                  <c:v>Conceito Final</c:v>
                </c:pt>
                <c:pt idx="1">
                  <c:v>Corpo Docente</c:v>
                </c:pt>
                <c:pt idx="2">
                  <c:v>Didático-Pedagógica</c:v>
                </c:pt>
                <c:pt idx="3">
                  <c:v>Infraestrutura</c:v>
                </c:pt>
              </c:strCache>
            </c:strRef>
          </c:cat>
          <c:val>
            <c:numRef>
              <c:f>GRÁFICOS!$DP$5:$DP$9</c:f>
              <c:numCache>
                <c:formatCode>0.00</c:formatCode>
                <c:ptCount val="4"/>
                <c:pt idx="0">
                  <c:v>3.1923076923076952</c:v>
                </c:pt>
                <c:pt idx="1">
                  <c:v>3.444230769230769</c:v>
                </c:pt>
                <c:pt idx="2">
                  <c:v>3.3134615384615382</c:v>
                </c:pt>
                <c:pt idx="3">
                  <c:v>2.7153846153846155</c:v>
                </c:pt>
              </c:numCache>
            </c:numRef>
          </c:val>
        </c:ser>
        <c:ser>
          <c:idx val="1"/>
          <c:order val="1"/>
          <c:tx>
            <c:strRef>
              <c:f>GRÁFICOS!$DQ$3:$DQ$4</c:f>
              <c:strCache>
                <c:ptCount val="1"/>
                <c:pt idx="0">
                  <c:v>Renovação de Reconhecimento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GRÁFICOS!$DO$5:$DO$9</c:f>
              <c:strCache>
                <c:ptCount val="4"/>
                <c:pt idx="0">
                  <c:v>Conceito Final</c:v>
                </c:pt>
                <c:pt idx="1">
                  <c:v>Corpo Docente</c:v>
                </c:pt>
                <c:pt idx="2">
                  <c:v>Didático-Pedagógica</c:v>
                </c:pt>
                <c:pt idx="3">
                  <c:v>Infraestrutura</c:v>
                </c:pt>
              </c:strCache>
            </c:strRef>
          </c:cat>
          <c:val>
            <c:numRef>
              <c:f>GRÁFICOS!$DQ$5:$DQ$9</c:f>
              <c:numCache>
                <c:formatCode>0.00</c:formatCode>
                <c:ptCount val="4"/>
                <c:pt idx="0">
                  <c:v>3.2222222222222232</c:v>
                </c:pt>
                <c:pt idx="1">
                  <c:v>4.0222222222222221</c:v>
                </c:pt>
                <c:pt idx="2">
                  <c:v>3.3111111111111113</c:v>
                </c:pt>
                <c:pt idx="3">
                  <c:v>2.8666666666666667</c:v>
                </c:pt>
              </c:numCache>
            </c:numRef>
          </c:val>
        </c:ser>
        <c:dLbls>
          <c:showVal val="1"/>
        </c:dLbls>
        <c:axId val="72520064"/>
        <c:axId val="72521984"/>
      </c:barChart>
      <c:catAx>
        <c:axId val="72520064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Dimensão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521984"/>
        <c:crosses val="autoZero"/>
        <c:auto val="1"/>
        <c:lblAlgn val="ctr"/>
        <c:lblOffset val="100"/>
      </c:catAx>
      <c:valAx>
        <c:axId val="72521984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Média dos Conceitos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" sourceLinked="1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52006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  <c:extLst>
    <c:ext xmlns:c14="http://schemas.microsoft.com/office/drawing/2007/8/2/chart" uri="{781A3756-C4B2-4CAC-9D66-4F8BD8637D16}">
      <c14:pivotOptions>
        <c14:dropZoneSeries val="1"/>
      </c14:pivotOptions>
    </c:ext>
  </c:extLst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dinâmica39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kern="1200" baseline="0">
                <a:solidFill>
                  <a:srgbClr val="000000"/>
                </a:solidFill>
              </a:rPr>
              <a:t>Média dos Conceitos dos Cursos do IFPA, por Campus e por Dimensão (2011-2015)</a:t>
            </a:r>
            <a:endParaRPr lang="pt-BR" sz="1200"/>
          </a:p>
        </c:rich>
      </c:tx>
      <c:spPr>
        <a:noFill/>
        <a:ln>
          <a:noFill/>
        </a:ln>
        <a:effectLst/>
      </c:spPr>
    </c:title>
    <c:pivotFmts>
      <c:pivotFmt>
        <c:idx val="0"/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4"/>
      </c:pivotFmt>
      <c:pivotFmt>
        <c:idx val="5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6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7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8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9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0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1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2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3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4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5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6"/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5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6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7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8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ser>
          <c:idx val="0"/>
          <c:order val="0"/>
          <c:tx>
            <c:strRef>
              <c:f>GRÁFICOS!$BU$1:$BU$2</c:f>
              <c:strCache>
                <c:ptCount val="1"/>
                <c:pt idx="0">
                  <c:v>Conceito Final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GRÁFICOS!$BT$3:$BT$14</c:f>
              <c:strCache>
                <c:ptCount val="11"/>
                <c:pt idx="0">
                  <c:v>Tucuruí</c:v>
                </c:pt>
                <c:pt idx="1">
                  <c:v>Santarém</c:v>
                </c:pt>
                <c:pt idx="2">
                  <c:v>Marabá Rural</c:v>
                </c:pt>
                <c:pt idx="3">
                  <c:v>Marabá Industrial</c:v>
                </c:pt>
                <c:pt idx="4">
                  <c:v>Itaituba</c:v>
                </c:pt>
                <c:pt idx="5">
                  <c:v>Conceição do Araguaia </c:v>
                </c:pt>
                <c:pt idx="6">
                  <c:v>Castanhal</c:v>
                </c:pt>
                <c:pt idx="7">
                  <c:v>Bragança</c:v>
                </c:pt>
                <c:pt idx="8">
                  <c:v>Belém</c:v>
                </c:pt>
                <c:pt idx="9">
                  <c:v>Altamira</c:v>
                </c:pt>
                <c:pt idx="10">
                  <c:v>Abaetetuba</c:v>
                </c:pt>
              </c:strCache>
            </c:strRef>
          </c:cat>
          <c:val>
            <c:numRef>
              <c:f>GRÁFICOS!$BU$3:$BU$14</c:f>
              <c:numCache>
                <c:formatCode>General</c:formatCode>
                <c:ptCount val="11"/>
                <c:pt idx="0">
                  <c:v>3.25</c:v>
                </c:pt>
                <c:pt idx="1">
                  <c:v>3.3333333333333335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  <c:pt idx="5">
                  <c:v>3.1428571428571432</c:v>
                </c:pt>
                <c:pt idx="6">
                  <c:v>3.1666666666666665</c:v>
                </c:pt>
                <c:pt idx="7">
                  <c:v>3.25</c:v>
                </c:pt>
                <c:pt idx="8">
                  <c:v>3.1875000000000027</c:v>
                </c:pt>
                <c:pt idx="9">
                  <c:v>3</c:v>
                </c:pt>
                <c:pt idx="10">
                  <c:v>3.25</c:v>
                </c:pt>
              </c:numCache>
            </c:numRef>
          </c:val>
        </c:ser>
        <c:ser>
          <c:idx val="1"/>
          <c:order val="1"/>
          <c:tx>
            <c:strRef>
              <c:f>GRÁFICOS!$BV$1:$BV$2</c:f>
              <c:strCache>
                <c:ptCount val="1"/>
                <c:pt idx="0">
                  <c:v>Infraestrutura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GRÁFICOS!$BT$3:$BT$14</c:f>
              <c:strCache>
                <c:ptCount val="11"/>
                <c:pt idx="0">
                  <c:v>Tucuruí</c:v>
                </c:pt>
                <c:pt idx="1">
                  <c:v>Santarém</c:v>
                </c:pt>
                <c:pt idx="2">
                  <c:v>Marabá Rural</c:v>
                </c:pt>
                <c:pt idx="3">
                  <c:v>Marabá Industrial</c:v>
                </c:pt>
                <c:pt idx="4">
                  <c:v>Itaituba</c:v>
                </c:pt>
                <c:pt idx="5">
                  <c:v>Conceição do Araguaia </c:v>
                </c:pt>
                <c:pt idx="6">
                  <c:v>Castanhal</c:v>
                </c:pt>
                <c:pt idx="7">
                  <c:v>Bragança</c:v>
                </c:pt>
                <c:pt idx="8">
                  <c:v>Belém</c:v>
                </c:pt>
                <c:pt idx="9">
                  <c:v>Altamira</c:v>
                </c:pt>
                <c:pt idx="10">
                  <c:v>Abaetetuba</c:v>
                </c:pt>
              </c:strCache>
            </c:strRef>
          </c:cat>
          <c:val>
            <c:numRef>
              <c:f>GRÁFICOS!$BV$3:$BV$14</c:f>
              <c:numCache>
                <c:formatCode>General</c:formatCode>
                <c:ptCount val="11"/>
                <c:pt idx="0">
                  <c:v>2.7821052631578946</c:v>
                </c:pt>
                <c:pt idx="1">
                  <c:v>3.3666666666666667</c:v>
                </c:pt>
                <c:pt idx="2">
                  <c:v>3.4249999999999998</c:v>
                </c:pt>
                <c:pt idx="3">
                  <c:v>2.2749999999999999</c:v>
                </c:pt>
                <c:pt idx="4">
                  <c:v>2.5591836734693878</c:v>
                </c:pt>
                <c:pt idx="5">
                  <c:v>2.7296296296296267</c:v>
                </c:pt>
                <c:pt idx="6">
                  <c:v>2.6507246376811602</c:v>
                </c:pt>
                <c:pt idx="7">
                  <c:v>2.7521739130434777</c:v>
                </c:pt>
                <c:pt idx="8">
                  <c:v>2.7656050955414009</c:v>
                </c:pt>
                <c:pt idx="9">
                  <c:v>2.4156249999999977</c:v>
                </c:pt>
                <c:pt idx="10">
                  <c:v>2.9541666666666662</c:v>
                </c:pt>
              </c:numCache>
            </c:numRef>
          </c:val>
        </c:ser>
        <c:ser>
          <c:idx val="2"/>
          <c:order val="2"/>
          <c:tx>
            <c:strRef>
              <c:f>GRÁFICOS!$BW$1:$BW$2</c:f>
              <c:strCache>
                <c:ptCount val="1"/>
                <c:pt idx="0">
                  <c:v>Corpo Docente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GRÁFICOS!$BT$3:$BT$14</c:f>
              <c:strCache>
                <c:ptCount val="11"/>
                <c:pt idx="0">
                  <c:v>Tucuruí</c:v>
                </c:pt>
                <c:pt idx="1">
                  <c:v>Santarém</c:v>
                </c:pt>
                <c:pt idx="2">
                  <c:v>Marabá Rural</c:v>
                </c:pt>
                <c:pt idx="3">
                  <c:v>Marabá Industrial</c:v>
                </c:pt>
                <c:pt idx="4">
                  <c:v>Itaituba</c:v>
                </c:pt>
                <c:pt idx="5">
                  <c:v>Conceição do Araguaia </c:v>
                </c:pt>
                <c:pt idx="6">
                  <c:v>Castanhal</c:v>
                </c:pt>
                <c:pt idx="7">
                  <c:v>Bragança</c:v>
                </c:pt>
                <c:pt idx="8">
                  <c:v>Belém</c:v>
                </c:pt>
                <c:pt idx="9">
                  <c:v>Altamira</c:v>
                </c:pt>
                <c:pt idx="10">
                  <c:v>Abaetetuba</c:v>
                </c:pt>
              </c:strCache>
            </c:strRef>
          </c:cat>
          <c:val>
            <c:numRef>
              <c:f>GRÁFICOS!$BW$3:$BW$14</c:f>
              <c:numCache>
                <c:formatCode>General</c:formatCode>
                <c:ptCount val="11"/>
                <c:pt idx="0">
                  <c:v>3.403</c:v>
                </c:pt>
                <c:pt idx="1">
                  <c:v>3.5447368421052663</c:v>
                </c:pt>
                <c:pt idx="2">
                  <c:v>4.1833333333333398</c:v>
                </c:pt>
                <c:pt idx="3">
                  <c:v>2.6333333333333342</c:v>
                </c:pt>
                <c:pt idx="4">
                  <c:v>2.9137254901960787</c:v>
                </c:pt>
                <c:pt idx="5">
                  <c:v>3.1999999999999997</c:v>
                </c:pt>
                <c:pt idx="6">
                  <c:v>3.6756756756756763</c:v>
                </c:pt>
                <c:pt idx="7">
                  <c:v>3.6030303030303052</c:v>
                </c:pt>
                <c:pt idx="8">
                  <c:v>3.8546012269938621</c:v>
                </c:pt>
                <c:pt idx="9">
                  <c:v>3.141025641025641</c:v>
                </c:pt>
                <c:pt idx="10">
                  <c:v>3.7647058823529456</c:v>
                </c:pt>
              </c:numCache>
            </c:numRef>
          </c:val>
        </c:ser>
        <c:ser>
          <c:idx val="3"/>
          <c:order val="3"/>
          <c:tx>
            <c:strRef>
              <c:f>GRÁFICOS!$BX$1:$BX$2</c:f>
              <c:strCache>
                <c:ptCount val="1"/>
                <c:pt idx="0">
                  <c:v>Didático-Pedagógica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GRÁFICOS!$BT$3:$BT$14</c:f>
              <c:strCache>
                <c:ptCount val="11"/>
                <c:pt idx="0">
                  <c:v>Tucuruí</c:v>
                </c:pt>
                <c:pt idx="1">
                  <c:v>Santarém</c:v>
                </c:pt>
                <c:pt idx="2">
                  <c:v>Marabá Rural</c:v>
                </c:pt>
                <c:pt idx="3">
                  <c:v>Marabá Industrial</c:v>
                </c:pt>
                <c:pt idx="4">
                  <c:v>Itaituba</c:v>
                </c:pt>
                <c:pt idx="5">
                  <c:v>Conceição do Araguaia </c:v>
                </c:pt>
                <c:pt idx="6">
                  <c:v>Castanhal</c:v>
                </c:pt>
                <c:pt idx="7">
                  <c:v>Bragança</c:v>
                </c:pt>
                <c:pt idx="8">
                  <c:v>Belém</c:v>
                </c:pt>
                <c:pt idx="9">
                  <c:v>Altamira</c:v>
                </c:pt>
                <c:pt idx="10">
                  <c:v>Abaetetuba</c:v>
                </c:pt>
              </c:strCache>
            </c:strRef>
          </c:cat>
          <c:val>
            <c:numRef>
              <c:f>GRÁFICOS!$BX$3:$BX$14</c:f>
              <c:numCache>
                <c:formatCode>General</c:formatCode>
                <c:ptCount val="11"/>
                <c:pt idx="0">
                  <c:v>3.3343283582089551</c:v>
                </c:pt>
                <c:pt idx="1">
                  <c:v>3.398039215686274</c:v>
                </c:pt>
                <c:pt idx="2">
                  <c:v>3.6235294117647059</c:v>
                </c:pt>
                <c:pt idx="3">
                  <c:v>3</c:v>
                </c:pt>
                <c:pt idx="4">
                  <c:v>3.5333333333333341</c:v>
                </c:pt>
                <c:pt idx="5">
                  <c:v>3.3188034188034177</c:v>
                </c:pt>
                <c:pt idx="6">
                  <c:v>3.2861386138613859</c:v>
                </c:pt>
                <c:pt idx="7">
                  <c:v>3.3813432835820887</c:v>
                </c:pt>
                <c:pt idx="8">
                  <c:v>3.2649769585253496</c:v>
                </c:pt>
                <c:pt idx="9">
                  <c:v>3.4903846153846154</c:v>
                </c:pt>
                <c:pt idx="10">
                  <c:v>2.9388059701492502</c:v>
                </c:pt>
              </c:numCache>
            </c:numRef>
          </c:val>
        </c:ser>
        <c:dLbls>
          <c:showVal val="1"/>
        </c:dLbls>
        <c:axId val="72202496"/>
        <c:axId val="72688000"/>
      </c:barChart>
      <c:catAx>
        <c:axId val="72202496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Campus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688000"/>
        <c:crosses val="autoZero"/>
        <c:auto val="1"/>
        <c:lblAlgn val="ctr"/>
        <c:lblOffset val="100"/>
      </c:catAx>
      <c:valAx>
        <c:axId val="72688000"/>
        <c:scaling>
          <c:orientation val="minMax"/>
        </c:scaling>
        <c:delete val="1"/>
        <c:axPos val="b"/>
        <c:numFmt formatCode="General" sourceLinked="1"/>
        <c:tickLblPos val="nextTo"/>
        <c:crossAx val="7220249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dinâmica22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Conceito Final dos Cursos do IFPA por Campus (2011-2015)</a:t>
            </a:r>
          </a:p>
        </c:rich>
      </c:tx>
      <c:spPr>
        <a:noFill/>
        <a:ln>
          <a:noFill/>
        </a:ln>
        <a:effectLst/>
      </c:spPr>
    </c:title>
    <c:pivotFmts>
      <c:pivotFmt>
        <c:idx val="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ser>
          <c:idx val="0"/>
          <c:order val="0"/>
          <c:tx>
            <c:strRef>
              <c:f>GRÁFICOS!$AQ$3</c:f>
              <c:strCache>
                <c:ptCount val="1"/>
                <c:pt idx="0">
                  <c:v>Total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GRÁFICOS!$AP$4:$AP$39</c:f>
              <c:multiLvlStrCache>
                <c:ptCount val="31"/>
                <c:lvl>
                  <c:pt idx="0">
                    <c:v>Pedagogia</c:v>
                  </c:pt>
                  <c:pt idx="1">
                    <c:v>Informática</c:v>
                  </c:pt>
                  <c:pt idx="2">
                    <c:v>Gestão Ambiental</c:v>
                  </c:pt>
                  <c:pt idx="3">
                    <c:v>Geografia</c:v>
                  </c:pt>
                  <c:pt idx="4">
                    <c:v>Física</c:v>
                  </c:pt>
                  <c:pt idx="5">
                    <c:v>Educação do Campo</c:v>
                  </c:pt>
                  <c:pt idx="6">
                    <c:v>Ciências Biológicas</c:v>
                  </c:pt>
                  <c:pt idx="7">
                    <c:v>Agroecologia</c:v>
                  </c:pt>
                  <c:pt idx="8">
                    <c:v>TADS</c:v>
                  </c:pt>
                  <c:pt idx="9">
                    <c:v>Sistema de Telecomunicações</c:v>
                  </c:pt>
                  <c:pt idx="10">
                    <c:v>Saneamento Ambiental</c:v>
                  </c:pt>
                  <c:pt idx="11">
                    <c:v>Química</c:v>
                  </c:pt>
                  <c:pt idx="12">
                    <c:v>Pedagogia</c:v>
                  </c:pt>
                  <c:pt idx="13">
                    <c:v>Matemática</c:v>
                  </c:pt>
                  <c:pt idx="14">
                    <c:v>Informática</c:v>
                  </c:pt>
                  <c:pt idx="15">
                    <c:v>Gestão Pública</c:v>
                  </c:pt>
                  <c:pt idx="16">
                    <c:v>Geografia</c:v>
                  </c:pt>
                  <c:pt idx="17">
                    <c:v>Física</c:v>
                  </c:pt>
                  <c:pt idx="18">
                    <c:v>Engenharia de Materiais</c:v>
                  </c:pt>
                  <c:pt idx="19">
                    <c:v>Eletrotécnica Industrial</c:v>
                  </c:pt>
                  <c:pt idx="20">
                    <c:v>Educação do Campo</c:v>
                  </c:pt>
                  <c:pt idx="21">
                    <c:v>Controle de Automação</c:v>
                  </c:pt>
                  <c:pt idx="22">
                    <c:v>Ciências Biológicas</c:v>
                  </c:pt>
                  <c:pt idx="23">
                    <c:v>Letras - Língua Portuguesa</c:v>
                  </c:pt>
                  <c:pt idx="24">
                    <c:v>Pedagogia</c:v>
                  </c:pt>
                  <c:pt idx="25">
                    <c:v>Informática</c:v>
                  </c:pt>
                  <c:pt idx="26">
                    <c:v>Educação do Campo</c:v>
                  </c:pt>
                  <c:pt idx="27">
                    <c:v>Informática</c:v>
                  </c:pt>
                  <c:pt idx="28">
                    <c:v>Física</c:v>
                  </c:pt>
                  <c:pt idx="29">
                    <c:v>Educação do Campo</c:v>
                  </c:pt>
                  <c:pt idx="30">
                    <c:v>Ciências Biológicas</c:v>
                  </c:pt>
                </c:lvl>
                <c:lvl>
                  <c:pt idx="0">
                    <c:v>Bragança</c:v>
                  </c:pt>
                  <c:pt idx="8">
                    <c:v>Belém</c:v>
                  </c:pt>
                  <c:pt idx="24">
                    <c:v>Altamira</c:v>
                  </c:pt>
                  <c:pt idx="27">
                    <c:v>Abaetetuba</c:v>
                  </c:pt>
                </c:lvl>
              </c:multiLvlStrCache>
            </c:multiLvlStrRef>
          </c:cat>
          <c:val>
            <c:numRef>
              <c:f>GRÁFICOS!$AQ$4:$AQ$39</c:f>
              <c:numCache>
                <c:formatCode>General</c:formatCode>
                <c:ptCount val="31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4</c:v>
                </c:pt>
                <c:pt idx="17">
                  <c:v>3</c:v>
                </c:pt>
                <c:pt idx="18">
                  <c:v>4</c:v>
                </c:pt>
                <c:pt idx="19">
                  <c:v>3</c:v>
                </c:pt>
                <c:pt idx="20">
                  <c:v>3</c:v>
                </c:pt>
                <c:pt idx="21">
                  <c:v>3</c:v>
                </c:pt>
                <c:pt idx="22">
                  <c:v>4</c:v>
                </c:pt>
                <c:pt idx="23">
                  <c:v>3</c:v>
                </c:pt>
                <c:pt idx="24">
                  <c:v>3</c:v>
                </c:pt>
                <c:pt idx="25">
                  <c:v>3</c:v>
                </c:pt>
                <c:pt idx="26">
                  <c:v>3</c:v>
                </c:pt>
                <c:pt idx="27">
                  <c:v>2</c:v>
                </c:pt>
                <c:pt idx="28">
                  <c:v>3</c:v>
                </c:pt>
                <c:pt idx="29">
                  <c:v>4</c:v>
                </c:pt>
                <c:pt idx="30">
                  <c:v>4</c:v>
                </c:pt>
              </c:numCache>
            </c:numRef>
          </c:val>
        </c:ser>
        <c:dLbls>
          <c:showVal val="1"/>
        </c:dLbls>
        <c:gapWidth val="65"/>
        <c:axId val="72714880"/>
        <c:axId val="72716672"/>
      </c:barChart>
      <c:catAx>
        <c:axId val="72714880"/>
        <c:scaling>
          <c:orientation val="minMax"/>
        </c:scaling>
        <c:axPos val="l"/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716672"/>
        <c:crosses val="autoZero"/>
        <c:auto val="1"/>
        <c:lblAlgn val="ctr"/>
        <c:lblOffset val="100"/>
      </c:catAx>
      <c:valAx>
        <c:axId val="72716672"/>
        <c:scaling>
          <c:orientation val="minMax"/>
        </c:scaling>
        <c:delete val="1"/>
        <c:axPos val="b"/>
        <c:numFmt formatCode="General" sourceLinked="1"/>
        <c:tickLblPos val="nextTo"/>
        <c:crossAx val="7271488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dinâmica44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Conceito Final dos Cursos do IFPA por Campus (2011-2015)</a:t>
            </a:r>
            <a:endParaRPr lang="pt-BR"/>
          </a:p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Continuação</a:t>
            </a:r>
          </a:p>
        </c:rich>
      </c:tx>
      <c:spPr>
        <a:noFill/>
        <a:ln>
          <a:noFill/>
        </a:ln>
        <a:effectLst/>
      </c:spPr>
    </c:title>
    <c:pivotFmts>
      <c:pivotFmt>
        <c:idx val="0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ser>
          <c:idx val="0"/>
          <c:order val="0"/>
          <c:tx>
            <c:strRef>
              <c:f>GRÁFICOS!$AQ$61</c:f>
              <c:strCache>
                <c:ptCount val="1"/>
                <c:pt idx="0">
                  <c:v>Total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GRÁFICOS!$AP$62:$AP$99</c:f>
              <c:multiLvlStrCache>
                <c:ptCount val="30"/>
                <c:lvl>
                  <c:pt idx="0">
                    <c:v>Saneamento Ambiental</c:v>
                  </c:pt>
                  <c:pt idx="1">
                    <c:v>Rede de Computadores</c:v>
                  </c:pt>
                  <c:pt idx="2">
                    <c:v>Pedagogia</c:v>
                  </c:pt>
                  <c:pt idx="3">
                    <c:v>Informática</c:v>
                  </c:pt>
                  <c:pt idx="4">
                    <c:v>Geografia</c:v>
                  </c:pt>
                  <c:pt idx="5">
                    <c:v>Física</c:v>
                  </c:pt>
                  <c:pt idx="6">
                    <c:v>Educação do Campo</c:v>
                  </c:pt>
                  <c:pt idx="7">
                    <c:v>Ciências Biológicas</c:v>
                  </c:pt>
                  <c:pt idx="8">
                    <c:v>Pedagogia</c:v>
                  </c:pt>
                  <c:pt idx="9">
                    <c:v>Informática</c:v>
                  </c:pt>
                  <c:pt idx="10">
                    <c:v>Educação do Campo</c:v>
                  </c:pt>
                  <c:pt idx="11">
                    <c:v>TADS</c:v>
                  </c:pt>
                  <c:pt idx="12">
                    <c:v>Saneamento Ambiental</c:v>
                  </c:pt>
                  <c:pt idx="13">
                    <c:v>Pedagogia</c:v>
                  </c:pt>
                  <c:pt idx="14">
                    <c:v>Informática</c:v>
                  </c:pt>
                  <c:pt idx="15">
                    <c:v>Educação do Campo</c:v>
                  </c:pt>
                  <c:pt idx="16">
                    <c:v>Pedagogia</c:v>
                  </c:pt>
                  <c:pt idx="17">
                    <c:v>Informática</c:v>
                  </c:pt>
                  <c:pt idx="18">
                    <c:v>Gestão Ambiental</c:v>
                  </c:pt>
                  <c:pt idx="19">
                    <c:v>Geografia</c:v>
                  </c:pt>
                  <c:pt idx="20">
                    <c:v>Educação do Campo</c:v>
                  </c:pt>
                  <c:pt idx="21">
                    <c:v>Ciências Biológicas</c:v>
                  </c:pt>
                  <c:pt idx="22">
                    <c:v>Agronomia</c:v>
                  </c:pt>
                  <c:pt idx="23">
                    <c:v>Pedagogia</c:v>
                  </c:pt>
                  <c:pt idx="24">
                    <c:v>Pedagogia</c:v>
                  </c:pt>
                  <c:pt idx="25">
                    <c:v>Informática</c:v>
                  </c:pt>
                  <c:pt idx="26">
                    <c:v>Geografia</c:v>
                  </c:pt>
                  <c:pt idx="27">
                    <c:v>Educação do Campo</c:v>
                  </c:pt>
                  <c:pt idx="28">
                    <c:v>Aquicultura</c:v>
                  </c:pt>
                  <c:pt idx="29">
                    <c:v>Agronomia</c:v>
                  </c:pt>
                </c:lvl>
                <c:lvl>
                  <c:pt idx="0">
                    <c:v>Tucuruí</c:v>
                  </c:pt>
                  <c:pt idx="8">
                    <c:v>Santarém</c:v>
                  </c:pt>
                  <c:pt idx="11">
                    <c:v>Itaituba</c:v>
                  </c:pt>
                  <c:pt idx="15">
                    <c:v>CRMB</c:v>
                  </c:pt>
                  <c:pt idx="16">
                    <c:v>Conceição do Araguaia </c:v>
                  </c:pt>
                  <c:pt idx="23">
                    <c:v>CIMB</c:v>
                  </c:pt>
                  <c:pt idx="24">
                    <c:v>Castanhal</c:v>
                  </c:pt>
                </c:lvl>
              </c:multiLvlStrCache>
            </c:multiLvlStrRef>
          </c:cat>
          <c:val>
            <c:numRef>
              <c:f>GRÁFICOS!$AQ$62:$AQ$99</c:f>
              <c:numCache>
                <c:formatCode>General</c:formatCode>
                <c:ptCount val="30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4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3</c:v>
                </c:pt>
                <c:pt idx="20">
                  <c:v>3</c:v>
                </c:pt>
                <c:pt idx="21">
                  <c:v>3</c:v>
                </c:pt>
                <c:pt idx="22">
                  <c:v>3</c:v>
                </c:pt>
                <c:pt idx="23">
                  <c:v>3</c:v>
                </c:pt>
                <c:pt idx="24">
                  <c:v>3</c:v>
                </c:pt>
                <c:pt idx="25">
                  <c:v>3</c:v>
                </c:pt>
                <c:pt idx="26">
                  <c:v>3</c:v>
                </c:pt>
                <c:pt idx="27">
                  <c:v>3</c:v>
                </c:pt>
                <c:pt idx="28">
                  <c:v>3</c:v>
                </c:pt>
                <c:pt idx="29">
                  <c:v>4</c:v>
                </c:pt>
              </c:numCache>
            </c:numRef>
          </c:val>
        </c:ser>
        <c:dLbls>
          <c:showVal val="1"/>
        </c:dLbls>
        <c:gapWidth val="65"/>
        <c:axId val="72763648"/>
        <c:axId val="72785920"/>
      </c:barChart>
      <c:catAx>
        <c:axId val="72763648"/>
        <c:scaling>
          <c:orientation val="minMax"/>
        </c:scaling>
        <c:axPos val="l"/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785920"/>
        <c:crosses val="autoZero"/>
        <c:auto val="1"/>
        <c:lblAlgn val="ctr"/>
        <c:lblOffset val="100"/>
      </c:catAx>
      <c:valAx>
        <c:axId val="72785920"/>
        <c:scaling>
          <c:orientation val="minMax"/>
        </c:scaling>
        <c:delete val="1"/>
        <c:axPos val="b"/>
        <c:numFmt formatCode="General" sourceLinked="1"/>
        <c:tickLblPos val="nextTo"/>
        <c:crossAx val="727636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pivotSource>
    <c:name>[Levantamento  ATUALIZADO.xlsx]GRÁFICOS!Tabela dinâmica13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Média dos Conceitos dos Cursos do IFPA por Dimensão</a:t>
            </a:r>
            <a:r>
              <a:rPr lang="en-US" sz="1200" baseline="0"/>
              <a:t> e Item Avaliado </a:t>
            </a:r>
            <a:r>
              <a:rPr lang="en-US" sz="1200"/>
              <a:t>(2011-2015)</a:t>
            </a:r>
            <a:endParaRPr lang="pt-BR" sz="1200"/>
          </a:p>
        </c:rich>
      </c:tx>
      <c:spPr>
        <a:noFill/>
        <a:ln>
          <a:noFill/>
        </a:ln>
        <a:effectLst/>
      </c:spPr>
    </c:title>
    <c:pivotFmts>
      <c:pivotFmt>
        <c:idx val="0"/>
        <c:dLbl>
          <c:idx val="0"/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gradFill rotWithShape="1">
            <a:gsLst>
              <a:gs pos="0">
                <a:schemeClr val="accent1">
                  <a:shade val="51000"/>
                  <a:satMod val="130000"/>
                </a:schemeClr>
              </a:gs>
              <a:gs pos="80000">
                <a:schemeClr val="accent1">
                  <a:shade val="93000"/>
                  <a:satMod val="130000"/>
                </a:schemeClr>
              </a:gs>
              <a:gs pos="100000">
                <a:schemeClr val="accent1">
                  <a:shade val="94000"/>
                  <a:satMod val="135000"/>
                </a:schemeClr>
              </a:gs>
            </a:gsLst>
            <a:lin ang="16200000" scaled="0"/>
          </a:gradFill>
          <a:ln>
            <a:noFill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Val val="1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ser>
          <c:idx val="0"/>
          <c:order val="0"/>
          <c:tx>
            <c:strRef>
              <c:f>GRÁFICOS!$P$3</c:f>
              <c:strCache>
                <c:ptCount val="1"/>
                <c:pt idx="0">
                  <c:v>Total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GRÁFICOS!$O$4:$O$49</c:f>
              <c:multiLvlStrCache>
                <c:ptCount val="42"/>
                <c:lvl>
                  <c:pt idx="0">
                    <c:v>Gabinetes de trabalho</c:v>
                  </c:pt>
                  <c:pt idx="1">
                    <c:v>Bibliografia complementar  </c:v>
                  </c:pt>
                  <c:pt idx="2">
                    <c:v>Bibliografia básica</c:v>
                  </c:pt>
                  <c:pt idx="3">
                    <c:v>Laboratórios didáticos: serviços </c:v>
                  </c:pt>
                  <c:pt idx="4">
                    <c:v>Laboratórios didáticos: qualidade</c:v>
                  </c:pt>
                  <c:pt idx="5">
                    <c:v>Infraestrutura</c:v>
                  </c:pt>
                  <c:pt idx="6">
                    <c:v>Laboratórios didáticos: quantidade  </c:v>
                  </c:pt>
                  <c:pt idx="7">
                    <c:v>Sala de professores</c:v>
                  </c:pt>
                  <c:pt idx="8">
                    <c:v>Periódicos especializados</c:v>
                  </c:pt>
                  <c:pt idx="9">
                    <c:v>Sala coordenação</c:v>
                  </c:pt>
                  <c:pt idx="10">
                    <c:v>Acesso dos alunos a eq. Info. </c:v>
                  </c:pt>
                  <c:pt idx="11">
                    <c:v>Salas de aula </c:v>
                  </c:pt>
                  <c:pt idx="12">
                    <c:v>Produção cient-cult-artíst-tecnol.</c:v>
                  </c:pt>
                  <c:pt idx="13">
                    <c:v>Colegiado</c:v>
                  </c:pt>
                  <c:pt idx="14">
                    <c:v>Percentual doutores</c:v>
                  </c:pt>
                  <c:pt idx="15">
                    <c:v>NDE</c:v>
                  </c:pt>
                  <c:pt idx="16">
                    <c:v>Corpo Docente</c:v>
                  </c:pt>
                  <c:pt idx="17">
                    <c:v>Experiência profissional corpo docente</c:v>
                  </c:pt>
                  <c:pt idx="18">
                    <c:v>Atuação Coordenador</c:v>
                  </c:pt>
                  <c:pt idx="19">
                    <c:v>Experiência do coordenador</c:v>
                  </c:pt>
                  <c:pt idx="20">
                    <c:v>Regime trabalho  corpo docente </c:v>
                  </c:pt>
                  <c:pt idx="21">
                    <c:v>Titulação do corpo docente</c:v>
                  </c:pt>
                  <c:pt idx="22">
                    <c:v>Experiência magistério superior</c:v>
                  </c:pt>
                  <c:pt idx="23">
                    <c:v>Experiência docência ed. básica</c:v>
                  </c:pt>
                  <c:pt idx="24">
                    <c:v>Regime de trabalho coordenador</c:v>
                  </c:pt>
                  <c:pt idx="25">
                    <c:v>Ações dec. avaliação curso</c:v>
                  </c:pt>
                  <c:pt idx="26">
                    <c:v>TICS</c:v>
                  </c:pt>
                  <c:pt idx="27">
                    <c:v>Políticas institucionais</c:v>
                  </c:pt>
                  <c:pt idx="28">
                    <c:v>Conteúdos curriculares</c:v>
                  </c:pt>
                  <c:pt idx="29">
                    <c:v>Apoio ao discente</c:v>
                  </c:pt>
                  <c:pt idx="30">
                    <c:v>Atividades complementares</c:v>
                  </c:pt>
                  <c:pt idx="31">
                    <c:v>Estrutura curricular</c:v>
                  </c:pt>
                  <c:pt idx="32">
                    <c:v>Metodologia</c:v>
                  </c:pt>
                  <c:pt idx="33">
                    <c:v>Avaliação ensino-aprend.</c:v>
                  </c:pt>
                  <c:pt idx="34">
                    <c:v>Didático-Pedagógica</c:v>
                  </c:pt>
                  <c:pt idx="35">
                    <c:v>Estágio supervisionado</c:v>
                  </c:pt>
                  <c:pt idx="36">
                    <c:v>TCC</c:v>
                  </c:pt>
                  <c:pt idx="37">
                    <c:v>Objetivos</c:v>
                  </c:pt>
                  <c:pt idx="38">
                    <c:v>Perfil do egresso</c:v>
                  </c:pt>
                  <c:pt idx="39">
                    <c:v>Contexto Educacional</c:v>
                  </c:pt>
                  <c:pt idx="40">
                    <c:v>Nº de vagas</c:v>
                  </c:pt>
                  <c:pt idx="41">
                    <c:v>Integração rede púb. ensino</c:v>
                  </c:pt>
                </c:lvl>
                <c:lvl>
                  <c:pt idx="0">
                    <c:v>Infraestrutura</c:v>
                  </c:pt>
                  <c:pt idx="12">
                    <c:v>Corpo Docente</c:v>
                  </c:pt>
                  <c:pt idx="25">
                    <c:v>Didático-Pedagógica</c:v>
                  </c:pt>
                </c:lvl>
              </c:multiLvlStrCache>
            </c:multiLvlStrRef>
          </c:cat>
          <c:val>
            <c:numRef>
              <c:f>GRÁFICOS!$P$4:$P$49</c:f>
              <c:numCache>
                <c:formatCode>0.00</c:formatCode>
                <c:ptCount val="42"/>
                <c:pt idx="0">
                  <c:v>1.8103448275862082</c:v>
                </c:pt>
                <c:pt idx="1">
                  <c:v>2.0689655172413812</c:v>
                </c:pt>
                <c:pt idx="2">
                  <c:v>2.2586206896551726</c:v>
                </c:pt>
                <c:pt idx="3">
                  <c:v>2.3720930232558102</c:v>
                </c:pt>
                <c:pt idx="4">
                  <c:v>2.6603773584905714</c:v>
                </c:pt>
                <c:pt idx="5">
                  <c:v>2.7377049180327901</c:v>
                </c:pt>
                <c:pt idx="6">
                  <c:v>2.8148148148148127</c:v>
                </c:pt>
                <c:pt idx="7">
                  <c:v>3.0714285714285707</c:v>
                </c:pt>
                <c:pt idx="8">
                  <c:v>3.1206896551724173</c:v>
                </c:pt>
                <c:pt idx="9">
                  <c:v>3.1896551724137927</c:v>
                </c:pt>
                <c:pt idx="10">
                  <c:v>3.3448275862068972</c:v>
                </c:pt>
                <c:pt idx="11">
                  <c:v>3.603448275862069</c:v>
                </c:pt>
                <c:pt idx="12">
                  <c:v>2.0517241379310351</c:v>
                </c:pt>
                <c:pt idx="13">
                  <c:v>2.7586206896551726</c:v>
                </c:pt>
                <c:pt idx="14">
                  <c:v>2.7758620689655182</c:v>
                </c:pt>
                <c:pt idx="15">
                  <c:v>2.7931034482758648</c:v>
                </c:pt>
                <c:pt idx="16">
                  <c:v>3.5295081967213142</c:v>
                </c:pt>
                <c:pt idx="17">
                  <c:v>3.5945945945945952</c:v>
                </c:pt>
                <c:pt idx="18">
                  <c:v>3.6379310344827602</c:v>
                </c:pt>
                <c:pt idx="19">
                  <c:v>3.7413793103448274</c:v>
                </c:pt>
                <c:pt idx="20">
                  <c:v>3.896551724137931</c:v>
                </c:pt>
                <c:pt idx="21">
                  <c:v>3.9137931034482731</c:v>
                </c:pt>
                <c:pt idx="22">
                  <c:v>4.2931034482758621</c:v>
                </c:pt>
                <c:pt idx="23">
                  <c:v>4.5348837209302326</c:v>
                </c:pt>
                <c:pt idx="24">
                  <c:v>4.624999999999992</c:v>
                </c:pt>
                <c:pt idx="25">
                  <c:v>2.6896551724137927</c:v>
                </c:pt>
                <c:pt idx="26">
                  <c:v>2.9655172413793163</c:v>
                </c:pt>
                <c:pt idx="27">
                  <c:v>3.0689655172413812</c:v>
                </c:pt>
                <c:pt idx="28">
                  <c:v>3.2068965517241392</c:v>
                </c:pt>
                <c:pt idx="29">
                  <c:v>3.2241379310344858</c:v>
                </c:pt>
                <c:pt idx="30">
                  <c:v>3.2413793103448274</c:v>
                </c:pt>
                <c:pt idx="31">
                  <c:v>3.2758620689655182</c:v>
                </c:pt>
                <c:pt idx="32">
                  <c:v>3.2931034482758648</c:v>
                </c:pt>
                <c:pt idx="33">
                  <c:v>3.3103448275862069</c:v>
                </c:pt>
                <c:pt idx="34">
                  <c:v>3.3131147540983612</c:v>
                </c:pt>
                <c:pt idx="35">
                  <c:v>3.3859649122807007</c:v>
                </c:pt>
                <c:pt idx="36">
                  <c:v>3.5438596491228069</c:v>
                </c:pt>
                <c:pt idx="37">
                  <c:v>3.5517241379310351</c:v>
                </c:pt>
                <c:pt idx="38">
                  <c:v>3.5689655172413812</c:v>
                </c:pt>
                <c:pt idx="39">
                  <c:v>3.603448275862069</c:v>
                </c:pt>
                <c:pt idx="40">
                  <c:v>3.6206896551724173</c:v>
                </c:pt>
                <c:pt idx="41">
                  <c:v>3.641025641025641</c:v>
                </c:pt>
              </c:numCache>
            </c:numRef>
          </c:val>
        </c:ser>
        <c:dLbls>
          <c:showVal val="1"/>
        </c:dLbls>
        <c:axId val="72820992"/>
        <c:axId val="72835456"/>
      </c:barChart>
      <c:catAx>
        <c:axId val="72820992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Item Avaliado por Dimensão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2835456"/>
        <c:crosses val="autoZero"/>
        <c:auto val="1"/>
        <c:lblAlgn val="ctr"/>
        <c:lblOffset val="100"/>
      </c:catAx>
      <c:valAx>
        <c:axId val="72835456"/>
        <c:scaling>
          <c:orientation val="minMax"/>
        </c:scaling>
        <c:delete val="1"/>
        <c:axPos val="b"/>
        <c:numFmt formatCode="0.00" sourceLinked="1"/>
        <c:tickLblPos val="nextTo"/>
        <c:crossAx val="7282099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0.84339</cdr:x>
      <cdr:y>0.54839</cdr:y>
    </cdr:from>
    <cdr:to>
      <cdr:x>1</cdr:x>
      <cdr:y>0.7866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5067300" y="21050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Vieira</dc:creator>
  <cp:lastModifiedBy>marcus.silva</cp:lastModifiedBy>
  <cp:revision>2</cp:revision>
  <dcterms:created xsi:type="dcterms:W3CDTF">2018-02-19T19:41:00Z</dcterms:created>
  <dcterms:modified xsi:type="dcterms:W3CDTF">2018-02-19T19:41:00Z</dcterms:modified>
</cp:coreProperties>
</file>